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安庆市总工会</w:t>
      </w:r>
      <w:r>
        <w:rPr>
          <w:rFonts w:hint="eastAsia" w:ascii="华文中宋" w:hAnsi="华文中宋" w:eastAsia="华文中宋"/>
          <w:b/>
          <w:sz w:val="32"/>
          <w:szCs w:val="32"/>
        </w:rPr>
        <w:t>2021年一般公共预算“三公”经费预算</w:t>
      </w:r>
    </w:p>
    <w:p>
      <w:pPr>
        <w:rPr>
          <w:rFonts w:hint="eastAsia"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6"/>
          <w:rFonts w:ascii="宋体" w:hAnsi="宋体"/>
          <w:b w:val="0"/>
          <w:bCs w:val="0"/>
          <w:szCs w:val="21"/>
        </w:rPr>
      </w:pPr>
      <w:r>
        <w:rPr>
          <w:rStyle w:val="6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spacing w:line="580" w:lineRule="exac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二、2021年一般公共预算“三公”经费支出预算情况说明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安庆市总工会</w:t>
      </w:r>
      <w:r>
        <w:rPr>
          <w:rFonts w:hint="eastAsia" w:ascii="仿宋_GB2312" w:hAnsi="仿宋" w:eastAsia="仿宋_GB2312"/>
          <w:sz w:val="32"/>
          <w:szCs w:val="32"/>
        </w:rPr>
        <w:t>2021年一般公共预算“三公”经费支出预算为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万元。其中：因公出国（境）费支出预算为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万元，公务接待费支出预算为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万元，公务用车购置及运行费支出预算为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万元。具体情况如下：</w:t>
      </w:r>
    </w:p>
    <w:p>
      <w:pPr>
        <w:pStyle w:val="3"/>
        <w:numPr>
          <w:ilvl w:val="0"/>
          <w:numId w:val="1"/>
        </w:numPr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本年未安排，与20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年预算持平。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持平原因主要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是 2021 年和 2020 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总工会均无财政预算安排的因公出国（境）费。</w:t>
      </w:r>
    </w:p>
    <w:p>
      <w:pPr>
        <w:pStyle w:val="3"/>
        <w:numPr>
          <w:numId w:val="0"/>
        </w:numPr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支出预算0万元,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 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，减少原因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 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无财政预算安排的公务接待费。</w:t>
      </w:r>
    </w:p>
    <w:p>
      <w:pPr>
        <w:pStyle w:val="3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 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，减少原因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市总工会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2021年无财政预算安排的公务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19"/>
    <w:multiLevelType w:val="singleLevel"/>
    <w:tmpl w:val="09D71B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30954"/>
    <w:rsid w:val="0F4F03A7"/>
    <w:rsid w:val="25832138"/>
    <w:rsid w:val="42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2021-03-15T03:21:00Z</dcterms:created>
  <dc:creator>Administrator</dc:creator>
  <cp:lastModifiedBy>lenovo</cp:lastModifiedBy>
  <dcterms:modified xsi:type="dcterms:W3CDTF">2021-03-30T09:31:49Z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