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0" w:lineRule="atLeast"/>
        <w:rPr>
          <w:rFonts w:hint="eastAsia" w:ascii="仿宋_GB2312" w:hAnsi="新宋体" w:eastAsia="仿宋_GB2312" w:cs="宋体"/>
          <w:bCs/>
          <w:color w:val="auto"/>
          <w:kern w:val="0"/>
          <w:sz w:val="32"/>
          <w:szCs w:val="32"/>
          <w:lang w:eastAsia="zh-CN"/>
        </w:rPr>
      </w:pPr>
      <w:r>
        <w:rPr>
          <w:rFonts w:hint="eastAsia" w:ascii="仿宋_GB2312" w:hAnsi="新宋体" w:eastAsia="仿宋_GB2312"/>
          <w:color w:val="auto"/>
          <w:sz w:val="32"/>
          <w:szCs w:val="32"/>
        </w:rPr>
        <w:t>附件</w:t>
      </w:r>
      <w:r>
        <w:rPr>
          <w:rFonts w:hint="eastAsia" w:ascii="仿宋_GB2312" w:hAnsi="新宋体" w:eastAsia="仿宋_GB2312"/>
          <w:color w:val="auto"/>
          <w:sz w:val="32"/>
          <w:szCs w:val="32"/>
          <w:lang w:val="en-US" w:eastAsia="zh-CN"/>
        </w:rPr>
        <w:t>5</w:t>
      </w:r>
    </w:p>
    <w:p>
      <w:pPr>
        <w:keepNext w:val="0"/>
        <w:keepLines w:val="0"/>
        <w:pageBreakBefore w:val="0"/>
        <w:widowControl/>
        <w:shd w:val="clear" w:color="auto" w:fill="FFFFFF"/>
        <w:kinsoku/>
        <w:wordWrap/>
        <w:overflowPunct/>
        <w:topLinePunct w:val="0"/>
        <w:autoSpaceDE/>
        <w:autoSpaceDN/>
        <w:bidi w:val="0"/>
        <w:adjustRightInd/>
        <w:snapToGrid/>
        <w:spacing w:line="720" w:lineRule="exact"/>
        <w:ind w:firstLine="2820" w:firstLineChars="641"/>
        <w:textAlignment w:val="auto"/>
        <w:rPr>
          <w:rFonts w:hint="eastAsia" w:ascii="仿宋_GB2312" w:hAnsi="仿宋_GB2312" w:eastAsia="仿宋_GB2312" w:cs="仿宋_GB2312"/>
          <w:b/>
          <w:bCs/>
          <w:color w:val="auto"/>
          <w:kern w:val="0"/>
          <w:sz w:val="32"/>
          <w:szCs w:val="32"/>
        </w:rPr>
      </w:pPr>
      <w:r>
        <w:rPr>
          <w:rFonts w:hint="eastAsia" w:ascii="方正小标宋简体" w:hAnsi="方正小标宋简体" w:eastAsia="方正小标宋简体" w:cs="方正小标宋简体"/>
          <w:b w:val="0"/>
          <w:bCs w:val="0"/>
          <w:color w:val="auto"/>
          <w:kern w:val="0"/>
          <w:sz w:val="44"/>
          <w:szCs w:val="44"/>
          <w:lang w:val="en-US" w:eastAsia="zh-CN"/>
        </w:rPr>
        <w:t>评分指标</w:t>
      </w:r>
    </w:p>
    <w:p>
      <w:pPr>
        <w:keepNext w:val="0"/>
        <w:keepLines w:val="0"/>
        <w:pageBreakBefore w:val="0"/>
        <w:kinsoku/>
        <w:wordWrap/>
        <w:overflowPunct/>
        <w:topLinePunct w:val="0"/>
        <w:autoSpaceDE/>
        <w:autoSpaceDN/>
        <w:bidi w:val="0"/>
        <w:adjustRightInd/>
        <w:snapToGrid/>
        <w:spacing w:line="240" w:lineRule="auto"/>
        <w:ind w:firstLine="4800" w:firstLineChars="1500"/>
        <w:jc w:val="both"/>
        <w:textAlignment w:val="auto"/>
        <w:rPr>
          <w:rFonts w:hint="eastAsia" w:ascii="仿宋_GB2312" w:hAnsi="仿宋_GB2312" w:eastAsia="仿宋_GB2312" w:cs="仿宋_GB2312"/>
          <w:color w:val="auto"/>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各评委成员按下列评分项目进行评判，评标委员会各成员应当独立对每个有效投标人的投标情况进行评价、打分，然后汇总每个投标人每项评分因素的得分。各投标人的最终得分为所有评委评分的平均值（平均值计算精确至小数点后二位，小数点后第三位四舍五入）。</w:t>
      </w:r>
    </w:p>
    <w:tbl>
      <w:tblPr>
        <w:tblStyle w:val="5"/>
        <w:tblW w:w="9045" w:type="dxa"/>
        <w:tblInd w:w="-2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801"/>
        <w:gridCol w:w="834"/>
        <w:gridCol w:w="582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75" w:type="dxa"/>
            <w:vAlign w:val="center"/>
          </w:tcPr>
          <w:p>
            <w:pPr>
              <w:spacing w:line="360" w:lineRule="auto"/>
              <w:jc w:val="center"/>
              <w:rPr>
                <w:rFonts w:ascii="宋体"/>
                <w:b/>
                <w:bCs/>
                <w:snapToGrid w:val="0"/>
                <w:color w:val="auto"/>
              </w:rPr>
            </w:pPr>
            <w:r>
              <w:rPr>
                <w:rFonts w:hint="eastAsia" w:ascii="宋体" w:hAnsi="宋体" w:cs="宋体"/>
                <w:b/>
                <w:bCs/>
                <w:snapToGrid w:val="0"/>
                <w:color w:val="auto"/>
              </w:rPr>
              <w:t>序号</w:t>
            </w:r>
          </w:p>
        </w:tc>
        <w:tc>
          <w:tcPr>
            <w:tcW w:w="801" w:type="dxa"/>
            <w:vAlign w:val="center"/>
          </w:tcPr>
          <w:p>
            <w:pPr>
              <w:spacing w:line="360" w:lineRule="auto"/>
              <w:jc w:val="center"/>
              <w:rPr>
                <w:rFonts w:ascii="宋体"/>
                <w:b/>
                <w:bCs/>
                <w:snapToGrid w:val="0"/>
                <w:color w:val="auto"/>
              </w:rPr>
            </w:pPr>
            <w:r>
              <w:rPr>
                <w:rFonts w:hint="eastAsia" w:ascii="宋体" w:hAnsi="宋体" w:cs="宋体"/>
                <w:b/>
                <w:bCs/>
                <w:snapToGrid w:val="0"/>
                <w:color w:val="auto"/>
              </w:rPr>
              <w:t>评分因素</w:t>
            </w:r>
          </w:p>
        </w:tc>
        <w:tc>
          <w:tcPr>
            <w:tcW w:w="834" w:type="dxa"/>
            <w:vAlign w:val="center"/>
          </w:tcPr>
          <w:p>
            <w:pPr>
              <w:spacing w:line="360" w:lineRule="auto"/>
              <w:jc w:val="center"/>
              <w:rPr>
                <w:rFonts w:ascii="宋体"/>
                <w:b/>
                <w:bCs/>
                <w:snapToGrid w:val="0"/>
                <w:color w:val="auto"/>
              </w:rPr>
            </w:pPr>
            <w:r>
              <w:rPr>
                <w:rFonts w:hint="eastAsia" w:ascii="宋体" w:hAnsi="宋体" w:cs="宋体"/>
                <w:b/>
                <w:bCs/>
                <w:snapToGrid w:val="0"/>
                <w:color w:val="auto"/>
              </w:rPr>
              <w:t>分值</w:t>
            </w:r>
          </w:p>
        </w:tc>
        <w:tc>
          <w:tcPr>
            <w:tcW w:w="5820" w:type="dxa"/>
            <w:vAlign w:val="center"/>
          </w:tcPr>
          <w:p>
            <w:pPr>
              <w:spacing w:line="360" w:lineRule="auto"/>
              <w:jc w:val="center"/>
              <w:rPr>
                <w:rFonts w:ascii="宋体"/>
                <w:b/>
                <w:bCs/>
                <w:snapToGrid w:val="0"/>
                <w:color w:val="auto"/>
              </w:rPr>
            </w:pPr>
            <w:r>
              <w:rPr>
                <w:rFonts w:hint="eastAsia" w:ascii="宋体" w:hAnsi="宋体" w:cs="宋体"/>
                <w:b/>
                <w:bCs/>
                <w:snapToGrid w:val="0"/>
                <w:color w:val="auto"/>
              </w:rPr>
              <w:t>具体内容及评分标准</w:t>
            </w:r>
          </w:p>
        </w:tc>
        <w:tc>
          <w:tcPr>
            <w:tcW w:w="915" w:type="dxa"/>
            <w:vAlign w:val="center"/>
          </w:tcPr>
          <w:p>
            <w:pPr>
              <w:spacing w:line="360" w:lineRule="auto"/>
              <w:jc w:val="center"/>
              <w:rPr>
                <w:rFonts w:ascii="宋体"/>
                <w:b/>
                <w:bCs/>
                <w:snapToGrid w:val="0"/>
                <w:color w:val="auto"/>
              </w:rPr>
            </w:pPr>
            <w:r>
              <w:rPr>
                <w:rFonts w:hint="eastAsia" w:ascii="宋体" w:hAnsi="宋体" w:cs="宋体"/>
                <w:b/>
                <w:bCs/>
                <w:snapToGrid w:val="0"/>
                <w:color w:val="auto"/>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pacing w:line="360" w:lineRule="auto"/>
              <w:jc w:val="center"/>
              <w:rPr>
                <w:rFonts w:ascii="宋体"/>
                <w:snapToGrid w:val="0"/>
                <w:color w:val="auto"/>
              </w:rPr>
            </w:pPr>
          </w:p>
          <w:p>
            <w:pPr>
              <w:spacing w:line="360" w:lineRule="auto"/>
              <w:jc w:val="center"/>
              <w:rPr>
                <w:rFonts w:ascii="宋体"/>
                <w:snapToGrid w:val="0"/>
                <w:color w:val="auto"/>
              </w:rPr>
            </w:pPr>
          </w:p>
          <w:p>
            <w:pPr>
              <w:spacing w:line="360" w:lineRule="auto"/>
              <w:rPr>
                <w:rFonts w:ascii="宋体"/>
                <w:snapToGrid w:val="0"/>
                <w:color w:val="auto"/>
              </w:rPr>
            </w:pPr>
          </w:p>
          <w:p>
            <w:pPr>
              <w:spacing w:line="360" w:lineRule="auto"/>
              <w:jc w:val="center"/>
              <w:rPr>
                <w:rFonts w:ascii="宋体"/>
                <w:snapToGrid w:val="0"/>
                <w:color w:val="auto"/>
              </w:rPr>
            </w:pPr>
            <w:r>
              <w:rPr>
                <w:rFonts w:ascii="宋体" w:hAnsi="宋体" w:cs="宋体"/>
                <w:snapToGrid w:val="0"/>
                <w:color w:val="auto"/>
              </w:rPr>
              <w:t>1</w:t>
            </w:r>
          </w:p>
        </w:tc>
        <w:tc>
          <w:tcPr>
            <w:tcW w:w="801" w:type="dxa"/>
            <w:vMerge w:val="restart"/>
            <w:vAlign w:val="center"/>
          </w:tcPr>
          <w:p>
            <w:pPr>
              <w:spacing w:line="360" w:lineRule="auto"/>
              <w:jc w:val="center"/>
              <w:rPr>
                <w:rFonts w:ascii="宋体"/>
                <w:snapToGrid w:val="0"/>
                <w:color w:val="auto"/>
              </w:rPr>
            </w:pPr>
          </w:p>
          <w:p>
            <w:pPr>
              <w:spacing w:line="360" w:lineRule="auto"/>
              <w:jc w:val="center"/>
              <w:rPr>
                <w:rFonts w:ascii="宋体"/>
                <w:snapToGrid w:val="0"/>
                <w:color w:val="auto"/>
              </w:rPr>
            </w:pPr>
          </w:p>
          <w:p>
            <w:pPr>
              <w:spacing w:line="360" w:lineRule="auto"/>
              <w:rPr>
                <w:rFonts w:ascii="宋体"/>
                <w:snapToGrid w:val="0"/>
                <w:color w:val="auto"/>
              </w:rPr>
            </w:pPr>
          </w:p>
          <w:p>
            <w:pPr>
              <w:spacing w:line="360" w:lineRule="auto"/>
              <w:jc w:val="center"/>
              <w:rPr>
                <w:rFonts w:ascii="宋体"/>
                <w:snapToGrid w:val="0"/>
                <w:color w:val="auto"/>
              </w:rPr>
            </w:pPr>
            <w:r>
              <w:rPr>
                <w:rFonts w:hint="eastAsia" w:ascii="宋体" w:hAnsi="宋体" w:cs="宋体"/>
                <w:snapToGrid w:val="0"/>
                <w:color w:val="auto"/>
              </w:rPr>
              <w:t>服务方案</w:t>
            </w:r>
          </w:p>
        </w:tc>
        <w:tc>
          <w:tcPr>
            <w:tcW w:w="834" w:type="dxa"/>
            <w:vAlign w:val="center"/>
          </w:tcPr>
          <w:p>
            <w:pPr>
              <w:spacing w:line="240" w:lineRule="atLeast"/>
              <w:jc w:val="center"/>
              <w:rPr>
                <w:rFonts w:ascii="宋体"/>
                <w:snapToGrid w:val="0"/>
                <w:color w:val="auto"/>
              </w:rPr>
            </w:pPr>
          </w:p>
          <w:p>
            <w:pPr>
              <w:spacing w:line="240" w:lineRule="atLeast"/>
              <w:jc w:val="center"/>
              <w:rPr>
                <w:rFonts w:ascii="宋体"/>
                <w:snapToGrid w:val="0"/>
                <w:color w:val="auto"/>
              </w:rPr>
            </w:pPr>
          </w:p>
          <w:p>
            <w:pPr>
              <w:spacing w:line="240" w:lineRule="atLeast"/>
              <w:jc w:val="center"/>
              <w:rPr>
                <w:rFonts w:ascii="宋体"/>
                <w:snapToGrid w:val="0"/>
                <w:color w:val="auto"/>
              </w:rPr>
            </w:pPr>
          </w:p>
          <w:p>
            <w:pPr>
              <w:spacing w:line="240" w:lineRule="atLeast"/>
              <w:jc w:val="center"/>
              <w:rPr>
                <w:rFonts w:ascii="宋体"/>
                <w:snapToGrid w:val="0"/>
                <w:color w:val="auto"/>
              </w:rPr>
            </w:pPr>
          </w:p>
          <w:p>
            <w:pPr>
              <w:spacing w:line="240" w:lineRule="atLeast"/>
              <w:jc w:val="center"/>
              <w:rPr>
                <w:rFonts w:hint="eastAsia" w:ascii="宋体" w:eastAsia="宋体"/>
                <w:snapToGrid w:val="0"/>
                <w:color w:val="auto"/>
                <w:lang w:eastAsia="zh-CN"/>
              </w:rPr>
            </w:pPr>
            <w:r>
              <w:rPr>
                <w:rFonts w:hint="eastAsia" w:ascii="宋体" w:hAnsi="宋体" w:cs="宋体"/>
                <w:snapToGrid w:val="0"/>
                <w:color w:val="auto"/>
                <w:lang w:val="en-US" w:eastAsia="zh-CN"/>
              </w:rPr>
              <w:t>5</w:t>
            </w:r>
          </w:p>
        </w:tc>
        <w:tc>
          <w:tcPr>
            <w:tcW w:w="5820" w:type="dxa"/>
            <w:vAlign w:val="center"/>
          </w:tcPr>
          <w:p>
            <w:pPr>
              <w:spacing w:line="360" w:lineRule="auto"/>
              <w:rPr>
                <w:rFonts w:ascii="宋体"/>
                <w:snapToGrid w:val="0"/>
                <w:color w:val="auto"/>
              </w:rPr>
            </w:pPr>
            <w:r>
              <w:rPr>
                <w:rFonts w:hint="eastAsia" w:ascii="宋体" w:hAnsi="宋体" w:cs="宋体"/>
                <w:snapToGrid w:val="0"/>
                <w:color w:val="auto"/>
              </w:rPr>
              <w:t>管理制度：</w:t>
            </w:r>
          </w:p>
          <w:p>
            <w:pPr>
              <w:spacing w:line="360" w:lineRule="auto"/>
              <w:rPr>
                <w:rFonts w:ascii="宋体"/>
                <w:snapToGrid w:val="0"/>
                <w:color w:val="auto"/>
              </w:rPr>
            </w:pPr>
            <w:r>
              <w:rPr>
                <w:rFonts w:ascii="宋体" w:hAnsi="宋体" w:cs="宋体"/>
                <w:snapToGrid w:val="0"/>
                <w:color w:val="auto"/>
              </w:rPr>
              <w:t>1</w:t>
            </w:r>
            <w:r>
              <w:rPr>
                <w:rFonts w:hint="eastAsia" w:ascii="宋体" w:hAnsi="宋体" w:cs="宋体"/>
                <w:snapToGrid w:val="0"/>
                <w:color w:val="auto"/>
              </w:rPr>
              <w:t>、具备业务需要的管理制度和符合</w:t>
            </w:r>
            <w:r>
              <w:rPr>
                <w:rFonts w:hint="eastAsia" w:ascii="宋体" w:hAnsi="宋体" w:cs="宋体"/>
                <w:snapToGrid w:val="0"/>
                <w:color w:val="auto"/>
                <w:lang w:val="en-US" w:eastAsia="zh-CN"/>
              </w:rPr>
              <w:t>绩效评价</w:t>
            </w:r>
            <w:r>
              <w:rPr>
                <w:rFonts w:hint="eastAsia" w:ascii="宋体" w:hAnsi="宋体" w:cs="宋体"/>
                <w:snapToGrid w:val="0"/>
                <w:color w:val="auto"/>
              </w:rPr>
              <w:t>相关法律法规的工作流程、业务规则。各项规章制度健全，各类人员岗位职责明确的得</w:t>
            </w:r>
            <w:r>
              <w:rPr>
                <w:rFonts w:hint="eastAsia" w:ascii="宋体" w:hAnsi="宋体" w:cs="宋体"/>
                <w:snapToGrid w:val="0"/>
                <w:color w:val="auto"/>
                <w:lang w:val="en-US" w:eastAsia="zh-CN"/>
              </w:rPr>
              <w:t>5</w:t>
            </w:r>
            <w:r>
              <w:rPr>
                <w:rFonts w:hint="eastAsia" w:ascii="宋体" w:hAnsi="宋体" w:cs="宋体"/>
                <w:snapToGrid w:val="0"/>
                <w:color w:val="auto"/>
              </w:rPr>
              <w:t>分；</w:t>
            </w:r>
          </w:p>
          <w:p>
            <w:pPr>
              <w:pStyle w:val="2"/>
              <w:spacing w:line="360" w:lineRule="auto"/>
              <w:ind w:left="0" w:leftChars="0" w:firstLine="0" w:firstLineChars="0"/>
              <w:rPr>
                <w:color w:val="auto"/>
              </w:rPr>
            </w:pPr>
            <w:r>
              <w:rPr>
                <w:color w:val="auto"/>
              </w:rPr>
              <w:t>2</w:t>
            </w:r>
            <w:r>
              <w:rPr>
                <w:rFonts w:hint="eastAsia" w:cs="宋体"/>
                <w:color w:val="auto"/>
              </w:rPr>
              <w:t>、具备业务需要的管理制度和符合</w:t>
            </w:r>
            <w:r>
              <w:rPr>
                <w:rFonts w:hint="eastAsia" w:ascii="宋体" w:hAnsi="宋体" w:cs="宋体"/>
                <w:snapToGrid w:val="0"/>
                <w:color w:val="auto"/>
                <w:lang w:val="en-US" w:eastAsia="zh-CN"/>
              </w:rPr>
              <w:t>绩效评价</w:t>
            </w:r>
            <w:r>
              <w:rPr>
                <w:rFonts w:hint="eastAsia" w:cs="宋体"/>
                <w:color w:val="auto"/>
              </w:rPr>
              <w:t>相关法律法规的工作流程、业务规则。各项规章制度较健全，各类人员岗位职责较明确的得</w:t>
            </w:r>
            <w:r>
              <w:rPr>
                <w:rFonts w:hint="eastAsia"/>
                <w:color w:val="auto"/>
                <w:lang w:val="en-US" w:eastAsia="zh-CN"/>
              </w:rPr>
              <w:t>4</w:t>
            </w:r>
            <w:r>
              <w:rPr>
                <w:rFonts w:hint="eastAsia" w:cs="宋体"/>
                <w:color w:val="auto"/>
              </w:rPr>
              <w:t>分；</w:t>
            </w:r>
          </w:p>
          <w:p>
            <w:pPr>
              <w:pStyle w:val="2"/>
              <w:spacing w:line="360" w:lineRule="auto"/>
              <w:ind w:left="0" w:leftChars="0" w:firstLine="0" w:firstLineChars="0"/>
              <w:rPr>
                <w:color w:val="auto"/>
              </w:rPr>
            </w:pPr>
            <w:r>
              <w:rPr>
                <w:color w:val="auto"/>
              </w:rPr>
              <w:t>3</w:t>
            </w:r>
            <w:r>
              <w:rPr>
                <w:rFonts w:hint="eastAsia" w:cs="宋体"/>
                <w:color w:val="auto"/>
              </w:rPr>
              <w:t>、具备业务需要的管理制度和符合</w:t>
            </w:r>
            <w:r>
              <w:rPr>
                <w:rFonts w:hint="eastAsia" w:ascii="宋体" w:hAnsi="宋体" w:cs="宋体"/>
                <w:snapToGrid w:val="0"/>
                <w:color w:val="auto"/>
                <w:lang w:val="en-US" w:eastAsia="zh-CN"/>
              </w:rPr>
              <w:t>绩效评价</w:t>
            </w:r>
            <w:r>
              <w:rPr>
                <w:rFonts w:hint="eastAsia" w:cs="宋体"/>
                <w:color w:val="auto"/>
              </w:rPr>
              <w:t>相关法律法规的工作流程、业务规则。各项规章制度、各类人员岗位职责基本健全、明确得的得</w:t>
            </w:r>
            <w:r>
              <w:rPr>
                <w:rFonts w:hint="eastAsia" w:cs="宋体"/>
                <w:color w:val="auto"/>
                <w:lang w:val="en-US" w:eastAsia="zh-CN"/>
              </w:rPr>
              <w:t>3</w:t>
            </w:r>
            <w:r>
              <w:rPr>
                <w:rFonts w:hint="eastAsia" w:cs="宋体"/>
                <w:color w:val="auto"/>
              </w:rPr>
              <w:t>分。</w:t>
            </w:r>
          </w:p>
          <w:p>
            <w:pPr>
              <w:pStyle w:val="2"/>
              <w:spacing w:line="360" w:lineRule="auto"/>
              <w:ind w:left="0" w:leftChars="0" w:firstLine="0" w:firstLineChars="0"/>
              <w:rPr>
                <w:color w:val="auto"/>
              </w:rPr>
            </w:pPr>
            <w:r>
              <w:rPr>
                <w:rFonts w:hint="eastAsia" w:cs="宋体"/>
                <w:color w:val="auto"/>
              </w:rPr>
              <w:t>未提供则不得分。</w:t>
            </w:r>
          </w:p>
          <w:p>
            <w:pPr>
              <w:spacing w:line="360" w:lineRule="auto"/>
              <w:rPr>
                <w:rFonts w:ascii="宋体"/>
                <w:snapToGrid w:val="0"/>
                <w:color w:val="auto"/>
              </w:rPr>
            </w:pPr>
            <w:r>
              <w:rPr>
                <w:rFonts w:hint="eastAsia" w:ascii="宋体" w:hAnsi="宋体" w:cs="宋体"/>
                <w:snapToGrid w:val="0"/>
                <w:color w:val="auto"/>
              </w:rPr>
              <w:t>注：需提供机构相关规章制度、工作流程、业务规则、岗位职责、财务管理等文本内容。</w:t>
            </w:r>
          </w:p>
        </w:tc>
        <w:tc>
          <w:tcPr>
            <w:tcW w:w="915" w:type="dxa"/>
          </w:tcPr>
          <w:p>
            <w:pPr>
              <w:spacing w:line="360" w:lineRule="auto"/>
              <w:ind w:firstLine="420"/>
              <w:rPr>
                <w:rFonts w:ascii="宋体"/>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675" w:type="dxa"/>
            <w:vMerge w:val="continue"/>
            <w:vAlign w:val="center"/>
          </w:tcPr>
          <w:p>
            <w:pPr>
              <w:spacing w:line="360" w:lineRule="auto"/>
              <w:jc w:val="center"/>
              <w:rPr>
                <w:rFonts w:ascii="宋体"/>
                <w:snapToGrid w:val="0"/>
                <w:color w:val="auto"/>
              </w:rPr>
            </w:pPr>
          </w:p>
        </w:tc>
        <w:tc>
          <w:tcPr>
            <w:tcW w:w="801" w:type="dxa"/>
            <w:vMerge w:val="continue"/>
            <w:vAlign w:val="center"/>
          </w:tcPr>
          <w:p>
            <w:pPr>
              <w:spacing w:line="360" w:lineRule="auto"/>
              <w:jc w:val="center"/>
              <w:rPr>
                <w:rFonts w:ascii="宋体"/>
                <w:snapToGrid w:val="0"/>
                <w:color w:val="auto"/>
              </w:rPr>
            </w:pPr>
          </w:p>
        </w:tc>
        <w:tc>
          <w:tcPr>
            <w:tcW w:w="834" w:type="dxa"/>
            <w:vAlign w:val="center"/>
          </w:tcPr>
          <w:p>
            <w:pPr>
              <w:spacing w:line="240" w:lineRule="atLeast"/>
              <w:jc w:val="center"/>
              <w:rPr>
                <w:rFonts w:hint="default" w:ascii="宋体" w:eastAsia="宋体"/>
                <w:snapToGrid w:val="0"/>
                <w:color w:val="auto"/>
                <w:lang w:val="en-US" w:eastAsia="zh-CN"/>
              </w:rPr>
            </w:pPr>
            <w:r>
              <w:rPr>
                <w:rFonts w:hint="eastAsia" w:ascii="宋体" w:hAnsi="宋体" w:cs="宋体"/>
                <w:snapToGrid w:val="0"/>
                <w:color w:val="auto"/>
                <w:lang w:val="en-US" w:eastAsia="zh-CN"/>
              </w:rPr>
              <w:t>15</w:t>
            </w:r>
          </w:p>
        </w:tc>
        <w:tc>
          <w:tcPr>
            <w:tcW w:w="5820" w:type="dxa"/>
            <w:vAlign w:val="center"/>
          </w:tcPr>
          <w:p>
            <w:pPr>
              <w:spacing w:line="360" w:lineRule="auto"/>
              <w:rPr>
                <w:color w:val="auto"/>
              </w:rPr>
            </w:pPr>
            <w:r>
              <w:rPr>
                <w:rFonts w:hint="eastAsia" w:cs="宋体"/>
                <w:color w:val="auto"/>
              </w:rPr>
              <w:t>实施方案：</w:t>
            </w:r>
          </w:p>
          <w:p>
            <w:pPr>
              <w:spacing w:line="360" w:lineRule="auto"/>
              <w:rPr>
                <w:color w:val="auto"/>
              </w:rPr>
            </w:pPr>
            <w:r>
              <w:rPr>
                <w:color w:val="auto"/>
              </w:rPr>
              <w:t>1</w:t>
            </w:r>
            <w:r>
              <w:rPr>
                <w:rFonts w:hint="eastAsia" w:cs="宋体"/>
                <w:color w:val="auto"/>
              </w:rPr>
              <w:t>、对承办</w:t>
            </w:r>
            <w:r>
              <w:rPr>
                <w:rFonts w:hint="eastAsia" w:ascii="宋体" w:hAnsi="宋体" w:cs="宋体"/>
                <w:snapToGrid w:val="0"/>
                <w:color w:val="auto"/>
                <w:lang w:val="en-US" w:eastAsia="zh-CN"/>
              </w:rPr>
              <w:t>绩效评价</w:t>
            </w:r>
            <w:r>
              <w:rPr>
                <w:rFonts w:hint="eastAsia" w:cs="宋体"/>
                <w:color w:val="auto"/>
              </w:rPr>
              <w:t>服务项目理解透彻、思路清晰、并针对本项目（根据招标文件确定合理的服务类型，针对项目目标，合理设置项目内容，综合运用</w:t>
            </w:r>
            <w:r>
              <w:rPr>
                <w:rFonts w:hint="eastAsia" w:ascii="宋体" w:hAnsi="宋体" w:cs="宋体"/>
                <w:snapToGrid w:val="0"/>
                <w:color w:val="auto"/>
                <w:lang w:val="en-US" w:eastAsia="zh-CN"/>
              </w:rPr>
              <w:t>绩效评价</w:t>
            </w:r>
            <w:r>
              <w:rPr>
                <w:rFonts w:hint="eastAsia" w:cs="宋体"/>
                <w:color w:val="auto"/>
              </w:rPr>
              <w:t>专业方法和技巧，有标准化的服务规范、服务流程）拟定系统、完整、有针对性的服务方案的得</w:t>
            </w:r>
            <w:r>
              <w:rPr>
                <w:rFonts w:hint="eastAsia"/>
                <w:color w:val="auto"/>
                <w:lang w:val="en-US" w:eastAsia="zh-CN"/>
              </w:rPr>
              <w:t>15</w:t>
            </w:r>
            <w:r>
              <w:rPr>
                <w:rFonts w:hint="eastAsia" w:cs="宋体"/>
                <w:color w:val="auto"/>
              </w:rPr>
              <w:t>分。</w:t>
            </w:r>
          </w:p>
          <w:p>
            <w:pPr>
              <w:spacing w:line="360" w:lineRule="auto"/>
              <w:rPr>
                <w:color w:val="auto"/>
              </w:rPr>
            </w:pPr>
            <w:r>
              <w:rPr>
                <w:color w:val="auto"/>
              </w:rPr>
              <w:t>2</w:t>
            </w:r>
            <w:r>
              <w:rPr>
                <w:rFonts w:hint="eastAsia" w:cs="宋体"/>
                <w:color w:val="auto"/>
              </w:rPr>
              <w:t>、对承办</w:t>
            </w:r>
            <w:r>
              <w:rPr>
                <w:rFonts w:hint="eastAsia" w:ascii="宋体" w:hAnsi="宋体" w:cs="宋体"/>
                <w:snapToGrid w:val="0"/>
                <w:color w:val="auto"/>
                <w:lang w:val="en-US" w:eastAsia="zh-CN"/>
              </w:rPr>
              <w:t>绩效评价</w:t>
            </w:r>
            <w:r>
              <w:rPr>
                <w:rFonts w:hint="eastAsia" w:cs="宋体"/>
                <w:color w:val="auto"/>
              </w:rPr>
              <w:t>服务项目理解较透彻、思路较清晰、并针对本项目（根据招标文件确定合理的服务类型，针对项目目标，合理设置项目内容，综合运用</w:t>
            </w:r>
            <w:r>
              <w:rPr>
                <w:rFonts w:hint="eastAsia" w:ascii="宋体" w:hAnsi="宋体" w:cs="宋体"/>
                <w:snapToGrid w:val="0"/>
                <w:color w:val="auto"/>
                <w:lang w:val="en-US" w:eastAsia="zh-CN"/>
              </w:rPr>
              <w:t>绩效评价</w:t>
            </w:r>
            <w:r>
              <w:rPr>
                <w:rFonts w:hint="eastAsia" w:cs="宋体"/>
                <w:color w:val="auto"/>
              </w:rPr>
              <w:t>专业方法和技巧，有标准化的服务规范、服务流程）拟定较系统、完整、有针对性的服务方案得</w:t>
            </w:r>
            <w:r>
              <w:rPr>
                <w:rFonts w:hint="eastAsia"/>
                <w:color w:val="auto"/>
                <w:lang w:val="en-US" w:eastAsia="zh-CN"/>
              </w:rPr>
              <w:t>13</w:t>
            </w:r>
            <w:r>
              <w:rPr>
                <w:rFonts w:hint="eastAsia" w:cs="宋体"/>
                <w:color w:val="auto"/>
              </w:rPr>
              <w:t>分。</w:t>
            </w:r>
          </w:p>
          <w:p>
            <w:pPr>
              <w:spacing w:line="360" w:lineRule="auto"/>
              <w:rPr>
                <w:color w:val="auto"/>
              </w:rPr>
            </w:pPr>
            <w:r>
              <w:rPr>
                <w:color w:val="auto"/>
              </w:rPr>
              <w:t>3</w:t>
            </w:r>
            <w:r>
              <w:rPr>
                <w:rFonts w:hint="eastAsia" w:cs="宋体"/>
                <w:color w:val="auto"/>
              </w:rPr>
              <w:t>、对承办</w:t>
            </w:r>
            <w:r>
              <w:rPr>
                <w:rFonts w:hint="eastAsia" w:ascii="宋体" w:hAnsi="宋体" w:cs="宋体"/>
                <w:snapToGrid w:val="0"/>
                <w:color w:val="auto"/>
                <w:lang w:val="en-US" w:eastAsia="zh-CN"/>
              </w:rPr>
              <w:t>绩效评价</w:t>
            </w:r>
            <w:r>
              <w:rPr>
                <w:rFonts w:hint="eastAsia" w:cs="宋体"/>
                <w:color w:val="auto"/>
              </w:rPr>
              <w:t>服务项目理解基本透彻、思路基本清晰、并针对本项目（根据招标文件确定合理的服务类型，针对项目目标，合理设置项目内容，综合运用</w:t>
            </w:r>
            <w:r>
              <w:rPr>
                <w:rFonts w:hint="eastAsia" w:ascii="宋体" w:hAnsi="宋体" w:cs="宋体"/>
                <w:snapToGrid w:val="0"/>
                <w:color w:val="auto"/>
                <w:lang w:val="en-US" w:eastAsia="zh-CN"/>
              </w:rPr>
              <w:t>绩效评价</w:t>
            </w:r>
            <w:r>
              <w:rPr>
                <w:rFonts w:hint="eastAsia" w:cs="宋体"/>
                <w:color w:val="auto"/>
              </w:rPr>
              <w:t>专业方法和技巧，有标准化的服务规范、服务流程）拟定的服务方案基本满足项目需求的得</w:t>
            </w:r>
            <w:r>
              <w:rPr>
                <w:color w:val="auto"/>
              </w:rPr>
              <w:t>1</w:t>
            </w:r>
            <w:r>
              <w:rPr>
                <w:rFonts w:hint="eastAsia"/>
                <w:color w:val="auto"/>
                <w:lang w:val="en-US" w:eastAsia="zh-CN"/>
              </w:rPr>
              <w:t>1</w:t>
            </w:r>
            <w:r>
              <w:rPr>
                <w:rFonts w:hint="eastAsia" w:cs="宋体"/>
                <w:color w:val="auto"/>
              </w:rPr>
              <w:t>分。</w:t>
            </w:r>
          </w:p>
          <w:p>
            <w:pPr>
              <w:pStyle w:val="2"/>
              <w:ind w:left="0" w:leftChars="0" w:firstLine="0" w:firstLineChars="0"/>
              <w:rPr>
                <w:color w:val="auto"/>
              </w:rPr>
            </w:pPr>
            <w:r>
              <w:rPr>
                <w:rFonts w:hint="eastAsia" w:ascii="宋体" w:hAnsi="宋体" w:cs="宋体"/>
                <w:snapToGrid w:val="0"/>
                <w:color w:val="auto"/>
              </w:rPr>
              <w:t>未提供则不得分。</w:t>
            </w:r>
          </w:p>
        </w:tc>
        <w:tc>
          <w:tcPr>
            <w:tcW w:w="915" w:type="dxa"/>
          </w:tcPr>
          <w:p>
            <w:pPr>
              <w:spacing w:line="360" w:lineRule="auto"/>
              <w:ind w:firstLine="420"/>
              <w:rPr>
                <w:rFonts w:ascii="宋体"/>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pacing w:line="360" w:lineRule="auto"/>
              <w:jc w:val="center"/>
              <w:rPr>
                <w:rFonts w:ascii="宋体"/>
                <w:snapToGrid w:val="0"/>
                <w:color w:val="auto"/>
              </w:rPr>
            </w:pPr>
          </w:p>
        </w:tc>
        <w:tc>
          <w:tcPr>
            <w:tcW w:w="801" w:type="dxa"/>
            <w:vMerge w:val="continue"/>
            <w:vAlign w:val="center"/>
          </w:tcPr>
          <w:p>
            <w:pPr>
              <w:spacing w:line="360" w:lineRule="auto"/>
              <w:jc w:val="center"/>
              <w:rPr>
                <w:rFonts w:ascii="宋体"/>
                <w:snapToGrid w:val="0"/>
                <w:color w:val="auto"/>
              </w:rPr>
            </w:pPr>
          </w:p>
        </w:tc>
        <w:tc>
          <w:tcPr>
            <w:tcW w:w="834" w:type="dxa"/>
            <w:vAlign w:val="center"/>
          </w:tcPr>
          <w:p>
            <w:pPr>
              <w:spacing w:line="360" w:lineRule="auto"/>
              <w:jc w:val="center"/>
              <w:rPr>
                <w:rFonts w:ascii="宋体"/>
                <w:snapToGrid w:val="0"/>
                <w:color w:val="auto"/>
              </w:rPr>
            </w:pPr>
            <w:r>
              <w:rPr>
                <w:rFonts w:ascii="宋体" w:hAnsi="宋体" w:cs="宋体"/>
                <w:snapToGrid w:val="0"/>
                <w:color w:val="auto"/>
              </w:rPr>
              <w:t>10</w:t>
            </w:r>
          </w:p>
        </w:tc>
        <w:tc>
          <w:tcPr>
            <w:tcW w:w="5820" w:type="dxa"/>
          </w:tcPr>
          <w:p>
            <w:pPr>
              <w:spacing w:line="360" w:lineRule="auto"/>
              <w:rPr>
                <w:color w:val="auto"/>
              </w:rPr>
            </w:pPr>
            <w:r>
              <w:rPr>
                <w:rFonts w:hint="eastAsia" w:cs="宋体"/>
                <w:color w:val="auto"/>
              </w:rPr>
              <w:t>服务技术措施：</w:t>
            </w:r>
          </w:p>
          <w:p>
            <w:pPr>
              <w:pStyle w:val="2"/>
              <w:spacing w:line="360" w:lineRule="auto"/>
              <w:ind w:left="0" w:leftChars="0" w:firstLine="0" w:firstLineChars="0"/>
              <w:rPr>
                <w:color w:val="auto"/>
              </w:rPr>
            </w:pPr>
            <w:r>
              <w:rPr>
                <w:color w:val="auto"/>
              </w:rPr>
              <w:t>1</w:t>
            </w:r>
            <w:r>
              <w:rPr>
                <w:rFonts w:hint="eastAsia" w:cs="宋体"/>
                <w:color w:val="auto"/>
              </w:rPr>
              <w:t>、投标人能根据项目的特点，清楚描述项目服务措施，工作方案有明确的服务人群和详细的服务计划，且计划合理可行；劳动力使用计划安排合理可行；完全满足项目需求的，得</w:t>
            </w:r>
            <w:r>
              <w:rPr>
                <w:color w:val="auto"/>
              </w:rPr>
              <w:t>10</w:t>
            </w:r>
            <w:r>
              <w:rPr>
                <w:rFonts w:hint="eastAsia" w:cs="宋体"/>
                <w:color w:val="auto"/>
              </w:rPr>
              <w:t>分。</w:t>
            </w:r>
          </w:p>
          <w:p>
            <w:pPr>
              <w:pStyle w:val="2"/>
              <w:spacing w:line="360" w:lineRule="auto"/>
              <w:ind w:left="0" w:leftChars="0" w:firstLine="0" w:firstLineChars="0"/>
              <w:rPr>
                <w:color w:val="auto"/>
              </w:rPr>
            </w:pPr>
            <w:r>
              <w:rPr>
                <w:color w:val="auto"/>
              </w:rPr>
              <w:t>2</w:t>
            </w:r>
            <w:r>
              <w:rPr>
                <w:rFonts w:hint="eastAsia" w:cs="宋体"/>
                <w:color w:val="auto"/>
              </w:rPr>
              <w:t>、投标人能根据项目的特点，较清楚描述项目服务技术措施，工作方案有较明确的服务人群和较为清晰的服务计划，且计划较合理；劳动力使用计划安排较合理；较为满足项目需求的，得</w:t>
            </w:r>
            <w:r>
              <w:rPr>
                <w:color w:val="auto"/>
              </w:rPr>
              <w:t>9</w:t>
            </w:r>
            <w:r>
              <w:rPr>
                <w:rFonts w:hint="eastAsia" w:cs="宋体"/>
                <w:color w:val="auto"/>
              </w:rPr>
              <w:t>分。</w:t>
            </w:r>
          </w:p>
          <w:p>
            <w:pPr>
              <w:pStyle w:val="2"/>
              <w:spacing w:line="360" w:lineRule="auto"/>
              <w:ind w:left="0" w:leftChars="0" w:firstLine="0" w:firstLineChars="0"/>
              <w:rPr>
                <w:color w:val="auto"/>
              </w:rPr>
            </w:pPr>
            <w:r>
              <w:rPr>
                <w:color w:val="auto"/>
              </w:rPr>
              <w:t>3</w:t>
            </w:r>
            <w:r>
              <w:rPr>
                <w:rFonts w:hint="eastAsia" w:cs="宋体"/>
                <w:color w:val="auto"/>
              </w:rPr>
              <w:t>、投标人根据项目的特点，描述项目服务技术措施不够清楚，工作方案没有明确的服务人群或服务计划不详实；劳动力使用计划有安排；基本满足项目需求的，得</w:t>
            </w:r>
            <w:r>
              <w:rPr>
                <w:color w:val="auto"/>
              </w:rPr>
              <w:t>8</w:t>
            </w:r>
            <w:r>
              <w:rPr>
                <w:rFonts w:hint="eastAsia" w:cs="宋体"/>
                <w:color w:val="auto"/>
              </w:rPr>
              <w:t>分。</w:t>
            </w:r>
          </w:p>
        </w:tc>
        <w:tc>
          <w:tcPr>
            <w:tcW w:w="915" w:type="dxa"/>
          </w:tcPr>
          <w:p>
            <w:pPr>
              <w:spacing w:line="360" w:lineRule="auto"/>
              <w:ind w:firstLine="420"/>
              <w:rPr>
                <w:rFonts w:ascii="宋体"/>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宋体"/>
                <w:snapToGrid w:val="0"/>
                <w:color w:val="auto"/>
              </w:rPr>
            </w:pPr>
            <w:r>
              <w:rPr>
                <w:rFonts w:ascii="宋体" w:hAnsi="宋体" w:cs="宋体"/>
                <w:snapToGrid w:val="0"/>
                <w:color w:val="auto"/>
              </w:rPr>
              <w:t>2</w:t>
            </w:r>
          </w:p>
        </w:tc>
        <w:tc>
          <w:tcPr>
            <w:tcW w:w="801" w:type="dxa"/>
            <w:vAlign w:val="center"/>
          </w:tcPr>
          <w:p>
            <w:pPr>
              <w:spacing w:line="360" w:lineRule="auto"/>
              <w:jc w:val="center"/>
              <w:rPr>
                <w:rFonts w:ascii="宋体"/>
                <w:snapToGrid w:val="0"/>
                <w:color w:val="auto"/>
              </w:rPr>
            </w:pPr>
            <w:r>
              <w:rPr>
                <w:rFonts w:hint="eastAsia" w:ascii="宋体" w:hAnsi="宋体" w:cs="宋体"/>
                <w:snapToGrid w:val="0"/>
                <w:color w:val="auto"/>
              </w:rPr>
              <w:t>技术力量配备</w:t>
            </w:r>
          </w:p>
        </w:tc>
        <w:tc>
          <w:tcPr>
            <w:tcW w:w="834" w:type="dxa"/>
            <w:vAlign w:val="center"/>
          </w:tcPr>
          <w:p>
            <w:pPr>
              <w:spacing w:line="360" w:lineRule="auto"/>
              <w:jc w:val="center"/>
              <w:rPr>
                <w:rFonts w:hint="default" w:ascii="宋体" w:eastAsia="宋体"/>
                <w:snapToGrid w:val="0"/>
                <w:color w:val="auto"/>
                <w:lang w:val="en-US" w:eastAsia="zh-CN"/>
              </w:rPr>
            </w:pPr>
            <w:r>
              <w:rPr>
                <w:rFonts w:hint="eastAsia" w:ascii="宋体" w:hAnsi="宋体" w:cs="宋体"/>
                <w:snapToGrid w:val="0"/>
                <w:color w:val="auto"/>
                <w:lang w:val="en-US" w:eastAsia="zh-CN"/>
              </w:rPr>
              <w:t>30</w:t>
            </w:r>
          </w:p>
        </w:tc>
        <w:tc>
          <w:tcPr>
            <w:tcW w:w="5820" w:type="dxa"/>
          </w:tcPr>
          <w:p>
            <w:pPr>
              <w:keepNext w:val="0"/>
              <w:keepLines w:val="0"/>
              <w:pageBreakBefore w:val="0"/>
              <w:widowControl/>
              <w:kinsoku/>
              <w:wordWrap/>
              <w:overflowPunct/>
              <w:topLinePunct w:val="0"/>
              <w:autoSpaceDE/>
              <w:autoSpaceDN/>
              <w:bidi w:val="0"/>
              <w:adjustRightInd/>
              <w:snapToGrid/>
              <w:spacing w:line="560" w:lineRule="exact"/>
              <w:ind w:right="0"/>
              <w:jc w:val="both"/>
              <w:textAlignment w:val="auto"/>
              <w:rPr>
                <w:rFonts w:hint="eastAsia" w:ascii="Times New Roman" w:hAnsi="Times New Roman" w:eastAsia="宋体" w:cs="宋体"/>
                <w:color w:val="auto"/>
                <w:kern w:val="2"/>
                <w:sz w:val="21"/>
                <w:szCs w:val="24"/>
                <w:lang w:val="en-US" w:eastAsia="zh-CN" w:bidi="ar-SA"/>
              </w:rPr>
            </w:pPr>
            <w:r>
              <w:rPr>
                <w:rFonts w:hint="eastAsia" w:ascii="Times New Roman" w:hAnsi="Times New Roman" w:eastAsia="宋体" w:cs="宋体"/>
                <w:color w:val="auto"/>
                <w:kern w:val="2"/>
                <w:sz w:val="21"/>
                <w:szCs w:val="24"/>
                <w:lang w:val="en-US" w:eastAsia="zh-CN" w:bidi="ar-SA"/>
              </w:rPr>
              <w:t>1、项目负责人具有人社部门颁发的会计师、审计师等资格证书的得</w:t>
            </w:r>
            <w:r>
              <w:rPr>
                <w:rFonts w:hint="eastAsia" w:cs="宋体"/>
                <w:color w:val="auto"/>
                <w:kern w:val="2"/>
                <w:sz w:val="21"/>
                <w:szCs w:val="24"/>
                <w:lang w:val="en-US" w:eastAsia="zh-CN" w:bidi="ar-SA"/>
              </w:rPr>
              <w:t>5</w:t>
            </w:r>
            <w:r>
              <w:rPr>
                <w:rFonts w:hint="eastAsia" w:ascii="Times New Roman" w:hAnsi="Times New Roman" w:eastAsia="宋体" w:cs="宋体"/>
                <w:color w:val="auto"/>
                <w:kern w:val="2"/>
                <w:sz w:val="21"/>
                <w:szCs w:val="24"/>
                <w:lang w:val="en-US" w:eastAsia="zh-CN" w:bidi="ar-SA"/>
              </w:rPr>
              <w:t>分。</w:t>
            </w:r>
          </w:p>
          <w:p>
            <w:pPr>
              <w:spacing w:line="360" w:lineRule="auto"/>
              <w:rPr>
                <w:rFonts w:hint="eastAsia" w:ascii="Times New Roman" w:hAnsi="Times New Roman" w:eastAsia="宋体" w:cs="宋体"/>
                <w:color w:val="auto"/>
                <w:kern w:val="2"/>
                <w:sz w:val="21"/>
                <w:szCs w:val="24"/>
                <w:lang w:val="en-US" w:eastAsia="zh-CN" w:bidi="ar-SA"/>
              </w:rPr>
            </w:pPr>
            <w:r>
              <w:rPr>
                <w:rFonts w:hint="eastAsia" w:ascii="Times New Roman" w:hAnsi="Times New Roman" w:eastAsia="宋体" w:cs="宋体"/>
                <w:color w:val="auto"/>
                <w:kern w:val="2"/>
                <w:sz w:val="21"/>
                <w:szCs w:val="24"/>
                <w:lang w:val="en-US" w:eastAsia="zh-CN" w:bidi="ar-SA"/>
              </w:rPr>
              <w:t>注：提供证书复印件或影印件。</w:t>
            </w:r>
          </w:p>
          <w:p>
            <w:pPr>
              <w:spacing w:line="360" w:lineRule="auto"/>
              <w:rPr>
                <w:color w:val="auto"/>
              </w:rPr>
            </w:pPr>
            <w:r>
              <w:rPr>
                <w:rFonts w:hint="eastAsia" w:ascii="Times New Roman" w:hAnsi="Times New Roman" w:eastAsia="宋体" w:cs="宋体"/>
                <w:color w:val="auto"/>
                <w:kern w:val="2"/>
                <w:sz w:val="21"/>
                <w:szCs w:val="24"/>
                <w:lang w:val="en-US" w:eastAsia="zh-CN" w:bidi="ar-SA"/>
              </w:rPr>
              <w:t>2、投标单位为项目负责人购买社保的得4分(提供2021年</w:t>
            </w:r>
            <w:r>
              <w:rPr>
                <w:rFonts w:hint="eastAsia" w:cs="宋体"/>
                <w:color w:val="auto"/>
                <w:kern w:val="2"/>
                <w:sz w:val="21"/>
                <w:szCs w:val="24"/>
                <w:lang w:val="en-US" w:eastAsia="zh-CN" w:bidi="ar-SA"/>
              </w:rPr>
              <w:t>8</w:t>
            </w:r>
            <w:r>
              <w:rPr>
                <w:rFonts w:hint="eastAsia" w:ascii="Times New Roman" w:hAnsi="Times New Roman" w:eastAsia="宋体" w:cs="宋体"/>
                <w:color w:val="auto"/>
                <w:kern w:val="2"/>
                <w:sz w:val="21"/>
                <w:szCs w:val="24"/>
                <w:lang w:val="en-US" w:eastAsia="zh-CN" w:bidi="ar-SA"/>
              </w:rPr>
              <w:t>月份、</w:t>
            </w:r>
            <w:r>
              <w:rPr>
                <w:rFonts w:hint="eastAsia" w:cs="宋体"/>
                <w:color w:val="auto"/>
                <w:kern w:val="2"/>
                <w:sz w:val="21"/>
                <w:szCs w:val="24"/>
                <w:lang w:val="en-US" w:eastAsia="zh-CN" w:bidi="ar-SA"/>
              </w:rPr>
              <w:t>9</w:t>
            </w:r>
            <w:r>
              <w:rPr>
                <w:rFonts w:hint="eastAsia" w:ascii="Times New Roman" w:hAnsi="Times New Roman" w:eastAsia="宋体" w:cs="宋体"/>
                <w:color w:val="auto"/>
                <w:kern w:val="2"/>
                <w:sz w:val="21"/>
                <w:szCs w:val="24"/>
                <w:lang w:val="en-US" w:eastAsia="zh-CN" w:bidi="ar-SA"/>
              </w:rPr>
              <w:t>月份、</w:t>
            </w:r>
            <w:r>
              <w:rPr>
                <w:rFonts w:hint="eastAsia" w:cs="宋体"/>
                <w:color w:val="auto"/>
                <w:kern w:val="2"/>
                <w:sz w:val="21"/>
                <w:szCs w:val="24"/>
                <w:lang w:val="en-US" w:eastAsia="zh-CN" w:bidi="ar-SA"/>
              </w:rPr>
              <w:t>10</w:t>
            </w:r>
            <w:r>
              <w:rPr>
                <w:rFonts w:hint="eastAsia" w:ascii="Times New Roman" w:hAnsi="Times New Roman" w:eastAsia="宋体" w:cs="宋体"/>
                <w:color w:val="auto"/>
                <w:kern w:val="2"/>
                <w:sz w:val="21"/>
                <w:szCs w:val="24"/>
                <w:lang w:val="en-US" w:eastAsia="zh-CN" w:bidi="ar-SA"/>
              </w:rPr>
              <w:t>月份中任</w:t>
            </w:r>
            <w:r>
              <w:rPr>
                <w:rFonts w:hint="eastAsia" w:cs="宋体"/>
                <w:color w:val="auto"/>
              </w:rPr>
              <w:t>意一个月份的社保证明材料）。</w:t>
            </w:r>
          </w:p>
          <w:p>
            <w:pPr>
              <w:spacing w:line="360" w:lineRule="auto"/>
              <w:rPr>
                <w:color w:val="auto"/>
              </w:rPr>
            </w:pPr>
            <w:r>
              <w:rPr>
                <w:color w:val="auto"/>
              </w:rPr>
              <w:t>3</w:t>
            </w:r>
            <w:r>
              <w:rPr>
                <w:rFonts w:hint="eastAsia" w:cs="宋体"/>
                <w:color w:val="auto"/>
              </w:rPr>
              <w:t>、项目参与人员：每提供一个具有人社部门颁发的</w:t>
            </w:r>
            <w:r>
              <w:rPr>
                <w:rFonts w:hint="eastAsia" w:cs="宋体"/>
                <w:color w:val="auto"/>
                <w:lang w:val="en-US" w:eastAsia="zh-CN"/>
              </w:rPr>
              <w:t>初级会计</w:t>
            </w:r>
            <w:r>
              <w:rPr>
                <w:rFonts w:hint="eastAsia" w:cs="宋体"/>
                <w:color w:val="auto"/>
              </w:rPr>
              <w:t>师</w:t>
            </w:r>
            <w:r>
              <w:rPr>
                <w:rFonts w:hint="eastAsia" w:cs="宋体"/>
                <w:color w:val="auto"/>
                <w:lang w:eastAsia="zh-CN"/>
              </w:rPr>
              <w:t>、</w:t>
            </w:r>
            <w:r>
              <w:rPr>
                <w:rFonts w:hint="eastAsia" w:cs="宋体"/>
                <w:color w:val="auto"/>
                <w:lang w:val="en-US" w:eastAsia="zh-CN"/>
              </w:rPr>
              <w:t>审计师</w:t>
            </w:r>
            <w:r>
              <w:rPr>
                <w:rFonts w:hint="eastAsia" w:cs="宋体"/>
                <w:color w:val="auto"/>
              </w:rPr>
              <w:t>证书的得</w:t>
            </w:r>
            <w:r>
              <w:rPr>
                <w:rFonts w:hint="eastAsia"/>
                <w:color w:val="auto"/>
                <w:lang w:val="en-US" w:eastAsia="zh-CN"/>
              </w:rPr>
              <w:t>2</w:t>
            </w:r>
            <w:r>
              <w:rPr>
                <w:rFonts w:hint="eastAsia" w:cs="宋体"/>
                <w:color w:val="auto"/>
              </w:rPr>
              <w:t>分</w:t>
            </w:r>
            <w:r>
              <w:rPr>
                <w:rFonts w:hint="eastAsia" w:cs="宋体"/>
                <w:color w:val="auto"/>
                <w:lang w:eastAsia="zh-CN"/>
              </w:rPr>
              <w:t>，</w:t>
            </w:r>
            <w:r>
              <w:rPr>
                <w:rFonts w:hint="eastAsia" w:cs="宋体"/>
                <w:color w:val="auto"/>
                <w:lang w:val="en-US" w:eastAsia="zh-CN"/>
              </w:rPr>
              <w:t>中级</w:t>
            </w:r>
            <w:r>
              <w:rPr>
                <w:rFonts w:hint="eastAsia" w:cs="宋体"/>
                <w:color w:val="auto"/>
              </w:rPr>
              <w:t>以上资格证书的得</w:t>
            </w:r>
            <w:r>
              <w:rPr>
                <w:rFonts w:hint="eastAsia"/>
                <w:color w:val="auto"/>
                <w:lang w:val="en-US" w:eastAsia="zh-CN"/>
              </w:rPr>
              <w:t>3</w:t>
            </w:r>
            <w:r>
              <w:rPr>
                <w:rFonts w:hint="eastAsia" w:cs="宋体"/>
                <w:color w:val="auto"/>
              </w:rPr>
              <w:t>分。最高得</w:t>
            </w:r>
            <w:r>
              <w:rPr>
                <w:color w:val="auto"/>
              </w:rPr>
              <w:t>12</w:t>
            </w:r>
            <w:r>
              <w:rPr>
                <w:rFonts w:hint="eastAsia" w:cs="宋体"/>
                <w:color w:val="auto"/>
              </w:rPr>
              <w:t>分。</w:t>
            </w:r>
          </w:p>
          <w:p>
            <w:pPr>
              <w:spacing w:line="360" w:lineRule="auto"/>
              <w:rPr>
                <w:color w:val="auto"/>
              </w:rPr>
            </w:pPr>
            <w:r>
              <w:rPr>
                <w:rFonts w:hint="eastAsia" w:cs="宋体"/>
                <w:color w:val="auto"/>
              </w:rPr>
              <w:t>注：提供证书复印件或影印件（不重复计分）。</w:t>
            </w:r>
          </w:p>
          <w:p>
            <w:pPr>
              <w:spacing w:line="360" w:lineRule="auto"/>
              <w:rPr>
                <w:color w:val="auto"/>
              </w:rPr>
            </w:pPr>
            <w:r>
              <w:rPr>
                <w:color w:val="auto"/>
              </w:rPr>
              <w:t>4</w:t>
            </w:r>
            <w:r>
              <w:rPr>
                <w:rFonts w:hint="eastAsia" w:cs="宋体"/>
                <w:color w:val="auto"/>
              </w:rPr>
              <w:t>、投标人承诺为项目参与人员（包括项目负责人）购买意外伤害保险，</w:t>
            </w:r>
            <w:r>
              <w:rPr>
                <w:color w:val="auto"/>
              </w:rPr>
              <w:t>1</w:t>
            </w:r>
            <w:r>
              <w:rPr>
                <w:rFonts w:hint="eastAsia" w:cs="宋体"/>
                <w:color w:val="auto"/>
              </w:rPr>
              <w:t>个得</w:t>
            </w:r>
            <w:r>
              <w:rPr>
                <w:color w:val="auto"/>
              </w:rPr>
              <w:t>3</w:t>
            </w:r>
            <w:r>
              <w:rPr>
                <w:rFonts w:hint="eastAsia" w:cs="宋体"/>
                <w:color w:val="auto"/>
              </w:rPr>
              <w:t>分，最高得</w:t>
            </w:r>
            <w:r>
              <w:rPr>
                <w:color w:val="auto"/>
              </w:rPr>
              <w:t>9</w:t>
            </w:r>
            <w:r>
              <w:rPr>
                <w:rFonts w:hint="eastAsia" w:cs="宋体"/>
                <w:color w:val="auto"/>
              </w:rPr>
              <w:t>分，没有</w:t>
            </w:r>
            <w:r>
              <w:rPr>
                <w:rFonts w:hint="eastAsia" w:cs="宋体"/>
                <w:color w:val="auto"/>
                <w:lang w:val="en-US" w:eastAsia="zh-CN"/>
              </w:rPr>
              <w:t>承诺的</w:t>
            </w:r>
            <w:r>
              <w:rPr>
                <w:rFonts w:hint="eastAsia" w:cs="宋体"/>
                <w:color w:val="auto"/>
              </w:rPr>
              <w:t>不得分。提供承诺书加盖投标人公章。</w:t>
            </w:r>
          </w:p>
        </w:tc>
        <w:tc>
          <w:tcPr>
            <w:tcW w:w="915" w:type="dxa"/>
          </w:tcPr>
          <w:p>
            <w:pPr>
              <w:spacing w:line="360" w:lineRule="auto"/>
              <w:ind w:firstLine="420"/>
              <w:rPr>
                <w:rFonts w:ascii="宋体"/>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75" w:type="dxa"/>
            <w:vAlign w:val="center"/>
          </w:tcPr>
          <w:p>
            <w:pPr>
              <w:spacing w:line="360" w:lineRule="auto"/>
              <w:jc w:val="center"/>
              <w:rPr>
                <w:rFonts w:ascii="宋体"/>
                <w:snapToGrid w:val="0"/>
                <w:color w:val="auto"/>
              </w:rPr>
            </w:pPr>
            <w:r>
              <w:rPr>
                <w:rFonts w:ascii="宋体" w:hAnsi="宋体" w:cs="宋体"/>
                <w:snapToGrid w:val="0"/>
                <w:color w:val="auto"/>
              </w:rPr>
              <w:t>3</w:t>
            </w:r>
          </w:p>
        </w:tc>
        <w:tc>
          <w:tcPr>
            <w:tcW w:w="801" w:type="dxa"/>
            <w:vAlign w:val="center"/>
          </w:tcPr>
          <w:p>
            <w:pPr>
              <w:spacing w:line="360" w:lineRule="auto"/>
              <w:jc w:val="center"/>
              <w:rPr>
                <w:rFonts w:ascii="宋体"/>
                <w:snapToGrid w:val="0"/>
                <w:color w:val="auto"/>
              </w:rPr>
            </w:pPr>
            <w:r>
              <w:rPr>
                <w:rFonts w:hint="eastAsia" w:ascii="宋体" w:hAnsi="宋体" w:cs="宋体"/>
                <w:snapToGrid w:val="0"/>
                <w:color w:val="auto"/>
              </w:rPr>
              <w:t>类似项目业绩</w:t>
            </w:r>
          </w:p>
        </w:tc>
        <w:tc>
          <w:tcPr>
            <w:tcW w:w="834" w:type="dxa"/>
            <w:vAlign w:val="center"/>
          </w:tcPr>
          <w:p>
            <w:pPr>
              <w:spacing w:line="360" w:lineRule="auto"/>
              <w:jc w:val="center"/>
              <w:rPr>
                <w:rFonts w:ascii="宋体"/>
                <w:snapToGrid w:val="0"/>
                <w:color w:val="auto"/>
              </w:rPr>
            </w:pPr>
            <w:r>
              <w:rPr>
                <w:rFonts w:ascii="宋体" w:hAnsi="宋体" w:cs="宋体"/>
                <w:snapToGrid w:val="0"/>
                <w:color w:val="auto"/>
              </w:rPr>
              <w:t>20</w:t>
            </w:r>
          </w:p>
        </w:tc>
        <w:tc>
          <w:tcPr>
            <w:tcW w:w="5820" w:type="dxa"/>
            <w:vAlign w:val="center"/>
          </w:tcPr>
          <w:p>
            <w:pPr>
              <w:spacing w:line="360" w:lineRule="auto"/>
              <w:rPr>
                <w:rFonts w:ascii="宋体"/>
                <w:snapToGrid w:val="0"/>
                <w:color w:val="auto"/>
                <w:shd w:val="clear" w:color="auto" w:fill="auto"/>
              </w:rPr>
            </w:pPr>
            <w:r>
              <w:rPr>
                <w:rFonts w:hint="eastAsia" w:ascii="宋体" w:hAnsi="宋体" w:cs="宋体"/>
                <w:snapToGrid w:val="0"/>
                <w:color w:val="auto"/>
                <w:shd w:val="clear" w:color="auto" w:fill="auto"/>
              </w:rPr>
              <w:t>自</w:t>
            </w:r>
            <w:r>
              <w:rPr>
                <w:rFonts w:ascii="宋体" w:hAnsi="宋体" w:cs="宋体"/>
                <w:snapToGrid w:val="0"/>
                <w:color w:val="auto"/>
                <w:shd w:val="clear" w:color="auto" w:fill="auto"/>
              </w:rPr>
              <w:t>20</w:t>
            </w:r>
            <w:r>
              <w:rPr>
                <w:rFonts w:hint="eastAsia" w:ascii="宋体" w:hAnsi="宋体" w:cs="宋体"/>
                <w:snapToGrid w:val="0"/>
                <w:color w:val="auto"/>
                <w:shd w:val="clear" w:color="auto" w:fill="auto"/>
                <w:lang w:val="en-US" w:eastAsia="zh-CN"/>
              </w:rPr>
              <w:t>17</w:t>
            </w:r>
            <w:r>
              <w:rPr>
                <w:rFonts w:hint="eastAsia" w:ascii="宋体" w:hAnsi="宋体" w:cs="宋体"/>
                <w:snapToGrid w:val="0"/>
                <w:color w:val="auto"/>
                <w:shd w:val="clear" w:color="auto" w:fill="auto"/>
              </w:rPr>
              <w:t>年</w:t>
            </w:r>
            <w:r>
              <w:rPr>
                <w:rFonts w:hint="eastAsia" w:ascii="宋体" w:hAnsi="宋体" w:cs="宋体"/>
                <w:snapToGrid w:val="0"/>
                <w:color w:val="auto"/>
                <w:shd w:val="clear" w:color="auto" w:fill="auto"/>
                <w:lang w:val="en-US" w:eastAsia="zh-CN"/>
              </w:rPr>
              <w:t>1月份</w:t>
            </w:r>
            <w:r>
              <w:rPr>
                <w:rFonts w:hint="eastAsia" w:ascii="宋体" w:hAnsi="宋体" w:cs="宋体"/>
                <w:snapToGrid w:val="0"/>
                <w:color w:val="auto"/>
                <w:shd w:val="clear" w:color="auto" w:fill="auto"/>
              </w:rPr>
              <w:t>以来</w:t>
            </w:r>
            <w:r>
              <w:rPr>
                <w:rFonts w:hint="eastAsia" w:ascii="宋体" w:hAnsi="宋体" w:cs="宋体"/>
                <w:snapToGrid w:val="0"/>
                <w:color w:val="auto"/>
                <w:shd w:val="clear" w:color="auto" w:fill="auto"/>
                <w:lang w:eastAsia="zh-CN"/>
              </w:rPr>
              <w:t>，</w:t>
            </w:r>
            <w:r>
              <w:rPr>
                <w:rFonts w:hint="eastAsia" w:ascii="宋体" w:hAnsi="宋体" w:cs="宋体"/>
                <w:snapToGrid w:val="0"/>
                <w:color w:val="auto"/>
                <w:shd w:val="clear" w:color="auto" w:fill="auto"/>
              </w:rPr>
              <w:t>投标人具有</w:t>
            </w:r>
            <w:r>
              <w:rPr>
                <w:rFonts w:hint="eastAsia" w:ascii="宋体" w:hAnsi="宋体" w:cs="宋体"/>
                <w:snapToGrid w:val="0"/>
                <w:color w:val="auto"/>
                <w:shd w:val="clear" w:color="auto" w:fill="auto"/>
                <w:lang w:val="en-US" w:eastAsia="zh-CN"/>
              </w:rPr>
              <w:t>民生工程、社会救助、扶贫</w:t>
            </w:r>
            <w:r>
              <w:rPr>
                <w:rFonts w:hint="eastAsia" w:ascii="宋体" w:hAnsi="宋体" w:cs="宋体"/>
                <w:snapToGrid w:val="0"/>
                <w:color w:val="auto"/>
                <w:shd w:val="clear" w:color="auto" w:fill="auto"/>
              </w:rPr>
              <w:t>等</w:t>
            </w:r>
            <w:r>
              <w:rPr>
                <w:rFonts w:hint="eastAsia" w:ascii="宋体" w:hAnsi="宋体" w:cs="宋体"/>
                <w:snapToGrid w:val="0"/>
                <w:color w:val="auto"/>
                <w:shd w:val="clear" w:color="auto" w:fill="auto"/>
                <w:lang w:val="en-US" w:eastAsia="zh-CN"/>
              </w:rPr>
              <w:t>项目绩效评价业绩</w:t>
            </w:r>
            <w:r>
              <w:rPr>
                <w:rFonts w:hint="eastAsia" w:ascii="宋体" w:hAnsi="宋体" w:cs="宋体"/>
                <w:snapToGrid w:val="0"/>
                <w:color w:val="auto"/>
                <w:shd w:val="clear" w:color="auto" w:fill="auto"/>
              </w:rPr>
              <w:t>，每提供一个得</w:t>
            </w:r>
            <w:r>
              <w:rPr>
                <w:rFonts w:hint="eastAsia" w:ascii="宋体" w:hAnsi="宋体" w:cs="宋体"/>
                <w:snapToGrid w:val="0"/>
                <w:color w:val="auto"/>
                <w:shd w:val="clear" w:color="auto" w:fill="auto"/>
                <w:lang w:val="en-US" w:eastAsia="zh-CN"/>
              </w:rPr>
              <w:t>2</w:t>
            </w:r>
            <w:r>
              <w:rPr>
                <w:rFonts w:hint="eastAsia" w:ascii="宋体" w:hAnsi="宋体" w:cs="宋体"/>
                <w:snapToGrid w:val="0"/>
                <w:color w:val="auto"/>
                <w:shd w:val="clear" w:color="auto" w:fill="auto"/>
              </w:rPr>
              <w:t>分，最高得</w:t>
            </w:r>
            <w:r>
              <w:rPr>
                <w:rFonts w:hint="eastAsia" w:ascii="宋体" w:hAnsi="宋体" w:cs="宋体"/>
                <w:snapToGrid w:val="0"/>
                <w:color w:val="auto"/>
                <w:shd w:val="clear" w:color="auto" w:fill="auto"/>
                <w:lang w:val="en-US" w:eastAsia="zh-CN"/>
              </w:rPr>
              <w:t>14</w:t>
            </w:r>
            <w:r>
              <w:rPr>
                <w:rFonts w:hint="eastAsia" w:ascii="宋体" w:hAnsi="宋体" w:cs="宋体"/>
                <w:snapToGrid w:val="0"/>
                <w:color w:val="auto"/>
                <w:shd w:val="clear" w:color="auto" w:fill="auto"/>
              </w:rPr>
              <w:t>分；</w:t>
            </w:r>
            <w:r>
              <w:rPr>
                <w:rFonts w:hint="eastAsia" w:ascii="宋体" w:hAnsi="宋体" w:cs="宋体"/>
                <w:snapToGrid w:val="0"/>
                <w:color w:val="auto"/>
                <w:shd w:val="clear" w:color="auto" w:fill="auto"/>
                <w:lang w:val="en-US" w:eastAsia="zh-CN"/>
              </w:rPr>
              <w:t>所评估的</w:t>
            </w:r>
            <w:r>
              <w:rPr>
                <w:rFonts w:hint="eastAsia" w:ascii="宋体" w:hAnsi="宋体" w:cs="宋体"/>
                <w:snapToGrid w:val="0"/>
                <w:color w:val="auto"/>
                <w:shd w:val="clear" w:color="auto" w:fill="auto"/>
              </w:rPr>
              <w:t>工作项目获得省级及以上</w:t>
            </w:r>
            <w:r>
              <w:rPr>
                <w:rFonts w:hint="eastAsia" w:ascii="宋体" w:hAnsi="宋体" w:cs="宋体"/>
                <w:snapToGrid w:val="0"/>
                <w:color w:val="auto"/>
                <w:shd w:val="clear" w:color="auto" w:fill="auto"/>
                <w:lang w:val="en-US" w:eastAsia="zh-CN"/>
              </w:rPr>
              <w:t>业务主管</w:t>
            </w:r>
            <w:r>
              <w:rPr>
                <w:rFonts w:hint="eastAsia" w:ascii="宋体" w:hAnsi="宋体" w:cs="宋体"/>
                <w:snapToGrid w:val="0"/>
                <w:color w:val="auto"/>
                <w:shd w:val="clear" w:color="auto" w:fill="auto"/>
              </w:rPr>
              <w:t>部门评为良好及以上等级的另加</w:t>
            </w:r>
            <w:r>
              <w:rPr>
                <w:rFonts w:hint="eastAsia" w:ascii="宋体" w:hAnsi="宋体" w:cs="宋体"/>
                <w:snapToGrid w:val="0"/>
                <w:color w:val="auto"/>
                <w:shd w:val="clear" w:color="auto" w:fill="auto"/>
                <w:lang w:val="en-US" w:eastAsia="zh-CN"/>
              </w:rPr>
              <w:t>2</w:t>
            </w:r>
            <w:r>
              <w:rPr>
                <w:rFonts w:hint="eastAsia" w:ascii="宋体" w:hAnsi="宋体" w:cs="宋体"/>
                <w:snapToGrid w:val="0"/>
                <w:color w:val="auto"/>
                <w:shd w:val="clear" w:color="auto" w:fill="auto"/>
              </w:rPr>
              <w:t>分，最高得</w:t>
            </w:r>
            <w:r>
              <w:rPr>
                <w:rFonts w:hint="eastAsia" w:ascii="宋体" w:hAnsi="宋体" w:cs="宋体"/>
                <w:snapToGrid w:val="0"/>
                <w:color w:val="auto"/>
                <w:shd w:val="clear" w:color="auto" w:fill="auto"/>
                <w:lang w:val="en-US" w:eastAsia="zh-CN"/>
              </w:rPr>
              <w:t>6</w:t>
            </w:r>
            <w:r>
              <w:rPr>
                <w:rFonts w:hint="eastAsia" w:ascii="宋体" w:hAnsi="宋体" w:cs="宋体"/>
                <w:snapToGrid w:val="0"/>
                <w:color w:val="auto"/>
                <w:shd w:val="clear" w:color="auto" w:fill="auto"/>
              </w:rPr>
              <w:t>分。</w:t>
            </w:r>
            <w:bookmarkStart w:id="2" w:name="_GoBack"/>
            <w:bookmarkEnd w:id="2"/>
          </w:p>
          <w:p>
            <w:pPr>
              <w:spacing w:line="360" w:lineRule="auto"/>
              <w:rPr>
                <w:rFonts w:ascii="宋体"/>
                <w:snapToGrid w:val="0"/>
                <w:color w:val="auto"/>
              </w:rPr>
            </w:pPr>
            <w:r>
              <w:rPr>
                <w:rFonts w:hint="eastAsia" w:ascii="宋体" w:hAnsi="宋体" w:cs="宋体"/>
                <w:snapToGrid w:val="0"/>
                <w:color w:val="auto"/>
              </w:rPr>
              <w:t>注：</w:t>
            </w:r>
            <w:r>
              <w:rPr>
                <w:rFonts w:ascii="宋体" w:hAnsi="宋体" w:cs="宋体"/>
                <w:snapToGrid w:val="0"/>
                <w:color w:val="auto"/>
              </w:rPr>
              <w:t>1</w:t>
            </w:r>
            <w:r>
              <w:rPr>
                <w:rFonts w:hint="eastAsia" w:ascii="宋体" w:hAnsi="宋体" w:cs="宋体"/>
                <w:snapToGrid w:val="0"/>
                <w:color w:val="auto"/>
              </w:rPr>
              <w:t>、不重复计分；</w:t>
            </w:r>
          </w:p>
          <w:p>
            <w:pPr>
              <w:spacing w:line="360" w:lineRule="auto"/>
              <w:ind w:firstLine="420" w:firstLineChars="200"/>
              <w:rPr>
                <w:rFonts w:ascii="宋体"/>
                <w:snapToGrid w:val="0"/>
                <w:color w:val="auto"/>
              </w:rPr>
            </w:pPr>
            <w:r>
              <w:rPr>
                <w:rFonts w:ascii="宋体" w:hAnsi="宋体" w:cs="宋体"/>
                <w:snapToGrid w:val="0"/>
                <w:color w:val="auto"/>
              </w:rPr>
              <w:t>2</w:t>
            </w:r>
            <w:r>
              <w:rPr>
                <w:rFonts w:hint="eastAsia" w:ascii="宋体" w:hAnsi="宋体" w:cs="宋体"/>
                <w:snapToGrid w:val="0"/>
                <w:color w:val="auto"/>
              </w:rPr>
              <w:t>、</w:t>
            </w:r>
            <w:r>
              <w:rPr>
                <w:rFonts w:hint="eastAsia" w:ascii="宋体" w:hAnsi="宋体" w:cs="宋体"/>
                <w:color w:val="auto"/>
              </w:rPr>
              <w:t>须提供合同（合同内容须体现）</w:t>
            </w:r>
            <w:r>
              <w:rPr>
                <w:rFonts w:hint="eastAsia" w:ascii="宋体" w:hAnsi="宋体" w:cs="宋体"/>
                <w:snapToGrid w:val="0"/>
                <w:color w:val="auto"/>
              </w:rPr>
              <w:t>复印件或影印件。</w:t>
            </w:r>
          </w:p>
        </w:tc>
        <w:tc>
          <w:tcPr>
            <w:tcW w:w="915" w:type="dxa"/>
          </w:tcPr>
          <w:p>
            <w:pPr>
              <w:spacing w:line="360" w:lineRule="auto"/>
              <w:ind w:firstLine="420"/>
              <w:rPr>
                <w:rFonts w:ascii="宋体"/>
                <w:snapToGrid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75" w:type="dxa"/>
            <w:vAlign w:val="center"/>
          </w:tcPr>
          <w:p>
            <w:pPr>
              <w:spacing w:line="360" w:lineRule="auto"/>
              <w:jc w:val="center"/>
              <w:rPr>
                <w:rFonts w:ascii="宋体"/>
                <w:snapToGrid w:val="0"/>
                <w:color w:val="auto"/>
                <w:sz w:val="24"/>
                <w:szCs w:val="24"/>
              </w:rPr>
            </w:pPr>
            <w:r>
              <w:rPr>
                <w:rFonts w:ascii="宋体" w:hAnsi="宋体" w:cs="宋体"/>
                <w:snapToGrid w:val="0"/>
                <w:color w:val="auto"/>
                <w:sz w:val="24"/>
                <w:szCs w:val="24"/>
              </w:rPr>
              <w:t>4</w:t>
            </w:r>
          </w:p>
        </w:tc>
        <w:tc>
          <w:tcPr>
            <w:tcW w:w="801" w:type="dxa"/>
            <w:vAlign w:val="center"/>
          </w:tcPr>
          <w:p>
            <w:pPr>
              <w:spacing w:line="360" w:lineRule="auto"/>
              <w:rPr>
                <w:rFonts w:ascii="宋体"/>
                <w:snapToGrid w:val="0"/>
                <w:color w:val="auto"/>
              </w:rPr>
            </w:pPr>
            <w:r>
              <w:rPr>
                <w:rFonts w:hint="eastAsia" w:ascii="宋体" w:hAnsi="宋体" w:cs="宋体"/>
                <w:snapToGrid w:val="0"/>
                <w:color w:val="auto"/>
              </w:rPr>
              <w:t>报价</w:t>
            </w:r>
          </w:p>
        </w:tc>
        <w:tc>
          <w:tcPr>
            <w:tcW w:w="834" w:type="dxa"/>
            <w:vAlign w:val="center"/>
          </w:tcPr>
          <w:p>
            <w:pPr>
              <w:spacing w:line="360" w:lineRule="auto"/>
              <w:jc w:val="center"/>
              <w:rPr>
                <w:rFonts w:hint="default" w:ascii="宋体" w:eastAsia="宋体"/>
                <w:snapToGrid w:val="0"/>
                <w:color w:val="auto"/>
                <w:lang w:val="en-US" w:eastAsia="zh-CN"/>
              </w:rPr>
            </w:pPr>
            <w:r>
              <w:rPr>
                <w:rFonts w:hint="eastAsia" w:ascii="宋体" w:hAnsi="宋体" w:cs="宋体"/>
                <w:snapToGrid w:val="0"/>
                <w:color w:val="auto"/>
                <w:lang w:val="en-US" w:eastAsia="zh-CN"/>
              </w:rPr>
              <w:t>20</w:t>
            </w:r>
          </w:p>
        </w:tc>
        <w:tc>
          <w:tcPr>
            <w:tcW w:w="5820" w:type="dxa"/>
          </w:tcPr>
          <w:p>
            <w:pPr>
              <w:spacing w:line="360" w:lineRule="auto"/>
              <w:rPr>
                <w:rFonts w:ascii="宋体"/>
                <w:snapToGrid w:val="0"/>
                <w:color w:val="auto"/>
              </w:rPr>
            </w:pPr>
            <w:bookmarkStart w:id="0" w:name="OLE_LINK6"/>
            <w:bookmarkStart w:id="1" w:name="OLE_LINK5"/>
            <w:r>
              <w:rPr>
                <w:rFonts w:hint="eastAsia" w:ascii="宋体" w:hAnsi="宋体" w:cs="宋体"/>
                <w:snapToGrid w:val="0"/>
                <w:color w:val="auto"/>
              </w:rPr>
              <w:t>投标人报价得分＝（评标基准价</w:t>
            </w:r>
            <w:r>
              <w:rPr>
                <w:rFonts w:ascii="宋体" w:hAnsi="宋体" w:cs="宋体"/>
                <w:snapToGrid w:val="0"/>
                <w:color w:val="auto"/>
              </w:rPr>
              <w:t>/</w:t>
            </w:r>
            <w:r>
              <w:rPr>
                <w:rFonts w:hint="eastAsia" w:ascii="宋体" w:hAnsi="宋体" w:cs="宋体"/>
                <w:snapToGrid w:val="0"/>
                <w:color w:val="auto"/>
              </w:rPr>
              <w:t>投标报价）×</w:t>
            </w:r>
            <w:r>
              <w:rPr>
                <w:rFonts w:ascii="宋体" w:hAnsi="宋体" w:cs="宋体"/>
                <w:snapToGrid w:val="0"/>
                <w:color w:val="auto"/>
              </w:rPr>
              <w:t>10</w:t>
            </w:r>
            <w:r>
              <w:rPr>
                <w:rFonts w:hint="eastAsia" w:ascii="宋体" w:hAnsi="宋体" w:cs="宋体"/>
                <w:snapToGrid w:val="0"/>
                <w:color w:val="auto"/>
              </w:rPr>
              <w:t>％×</w:t>
            </w:r>
            <w:r>
              <w:rPr>
                <w:rFonts w:ascii="宋体" w:hAnsi="宋体" w:cs="宋体"/>
                <w:snapToGrid w:val="0"/>
                <w:color w:val="auto"/>
              </w:rPr>
              <w:t>100</w:t>
            </w:r>
            <w:r>
              <w:rPr>
                <w:rFonts w:hint="eastAsia" w:ascii="宋体" w:hAnsi="宋体" w:cs="宋体"/>
                <w:snapToGrid w:val="0"/>
                <w:color w:val="auto"/>
              </w:rPr>
              <w:t>；</w:t>
            </w:r>
          </w:p>
          <w:p>
            <w:pPr>
              <w:spacing w:line="360" w:lineRule="auto"/>
              <w:rPr>
                <w:rFonts w:ascii="宋体"/>
                <w:snapToGrid w:val="0"/>
                <w:color w:val="auto"/>
              </w:rPr>
            </w:pPr>
            <w:r>
              <w:rPr>
                <w:rFonts w:hint="eastAsia" w:ascii="宋体" w:hAnsi="宋体" w:cs="宋体"/>
                <w:snapToGrid w:val="0"/>
                <w:color w:val="auto"/>
              </w:rPr>
              <w:t>评标基准价为满足招标文件要求且投标价格最低的投标报价；</w:t>
            </w:r>
          </w:p>
          <w:p>
            <w:pPr>
              <w:spacing w:line="360" w:lineRule="auto"/>
              <w:rPr>
                <w:rFonts w:ascii="宋体"/>
                <w:snapToGrid w:val="0"/>
                <w:color w:val="auto"/>
              </w:rPr>
            </w:pPr>
            <w:r>
              <w:rPr>
                <w:rFonts w:hint="eastAsia" w:ascii="宋体" w:hAnsi="宋体" w:cs="宋体"/>
                <w:snapToGrid w:val="0"/>
                <w:color w:val="auto"/>
              </w:rPr>
              <w:t>投标人报价为投标函中投标总价（按每年计算）。</w:t>
            </w:r>
            <w:bookmarkEnd w:id="0"/>
            <w:bookmarkEnd w:id="1"/>
          </w:p>
          <w:p>
            <w:pPr>
              <w:spacing w:line="360" w:lineRule="auto"/>
              <w:rPr>
                <w:rFonts w:ascii="宋体"/>
                <w:snapToGrid w:val="0"/>
                <w:color w:val="auto"/>
              </w:rPr>
            </w:pPr>
            <w:r>
              <w:rPr>
                <w:rFonts w:hint="eastAsia" w:ascii="宋体" w:hAnsi="宋体" w:cs="宋体"/>
                <w:snapToGrid w:val="0"/>
                <w:color w:val="auto"/>
              </w:rPr>
              <w:t>（商务报价分计算至小数点后第二位、小数点后第三位四舍五入）</w:t>
            </w:r>
          </w:p>
        </w:tc>
        <w:tc>
          <w:tcPr>
            <w:tcW w:w="915" w:type="dxa"/>
          </w:tcPr>
          <w:p>
            <w:pPr>
              <w:spacing w:line="360" w:lineRule="auto"/>
              <w:ind w:firstLine="420"/>
              <w:rPr>
                <w:rFonts w:ascii="宋体"/>
                <w:snapToGrid w:val="0"/>
                <w:color w:val="auto"/>
              </w:rPr>
            </w:pPr>
          </w:p>
        </w:tc>
      </w:tr>
    </w:tbl>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备注：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（1）以上评分汇总分精确至小数点后二位、小数点后第三位四舍五入。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（2）评委在打出各主观评分项最低分或者不得分时，须书面说明理由。</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（3）投标人提供的业绩证明材料要能清晰反映业绩评分的实质内容，否则评标委员会不予认可。采购人应在中标通知书发放前依序对评标委员会推荐的中标候选人核实投标文件中提供的业绩合同真实性。</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（4）以上评分项中要求投标人提供复印件或影印件或扫描件等相关证明材料的，相关证明材料均须加盖投标人公章，否则该项均不得分。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color w:val="auto"/>
        </w:rPr>
      </w:pPr>
      <w:r>
        <w:rPr>
          <w:rFonts w:hint="eastAsia" w:ascii="仿宋_GB2312" w:hAnsi="仿宋_GB2312" w:eastAsia="仿宋_GB2312" w:cs="仿宋_GB2312"/>
          <w:color w:val="auto"/>
          <w:kern w:val="0"/>
          <w:sz w:val="32"/>
          <w:szCs w:val="32"/>
        </w:rPr>
        <w:t>投标报价不得超过最高投标限价，否则为无效报价，即报价评审不通过。报价中包含单价与总价的，应审核总价金额与按单价汇总金额是否一致，若服务报价表单价汇总金额、服务报价表总价、投标函投标报价三者不一致的，视为无效报价。</w:t>
      </w:r>
    </w:p>
    <w:sectPr>
      <w:footerReference r:id="rId3" w:type="default"/>
      <w:footerReference r:id="rId4" w:type="even"/>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Style w:val="7"/>
                            </w:rPr>
                          </w:pPr>
                          <w:r>
                            <w:fldChar w:fldCharType="begin"/>
                          </w:r>
                          <w:r>
                            <w:rPr>
                              <w:rStyle w:val="7"/>
                            </w:rPr>
                            <w:instrText xml:space="preserve">PAGE  </w:instrText>
                          </w:r>
                          <w:r>
                            <w:fldChar w:fldCharType="separate"/>
                          </w:r>
                          <w:r>
                            <w:rPr>
                              <w:rStyle w:val="7"/>
                            </w:rPr>
                            <w:t>- 13 -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Style w:val="7"/>
                      </w:rPr>
                    </w:pPr>
                    <w:r>
                      <w:fldChar w:fldCharType="begin"/>
                    </w:r>
                    <w:r>
                      <w:rPr>
                        <w:rStyle w:val="7"/>
                      </w:rPr>
                      <w:instrText xml:space="preserve">PAGE  </w:instrText>
                    </w:r>
                    <w:r>
                      <w:fldChar w:fldCharType="separate"/>
                    </w:r>
                    <w:r>
                      <w:rPr>
                        <w:rStyle w:val="7"/>
                      </w:rPr>
                      <w:t>- 13 -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A311DD"/>
    <w:rsid w:val="073E3A1C"/>
    <w:rsid w:val="1598093D"/>
    <w:rsid w:val="208F0606"/>
    <w:rsid w:val="2E387CBF"/>
    <w:rsid w:val="56A7271D"/>
    <w:rsid w:val="69CA212B"/>
    <w:rsid w:val="72A311DD"/>
    <w:rsid w:val="74A11557"/>
    <w:rsid w:val="7C3C54F4"/>
    <w:rsid w:val="7F1A32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2021-11-08T10:34:00Z</dcterms:created>
  <dc:creator>Administrator</dc:creator>
  <cp:lastModifiedBy>Administrator</cp:lastModifiedBy>
  <dcterms:modified xsi:type="dcterms:W3CDTF">2021-11-12T08:46:42Z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0333E7E250454BF0B6C212E7DE61F51F</vt:lpwstr>
  </property>
</Properties>
</file>